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E5A" w:rsidRDefault="00B55E1C" w:rsidP="00F90E5A">
      <w:pPr>
        <w:spacing w:before="100" w:beforeAutospacing="1" w:after="100" w:afterAutospacing="1" w:line="240" w:lineRule="auto"/>
        <w:jc w:val="center"/>
        <w:rPr>
          <w:rFonts w:ascii="Times New Roman" w:eastAsia="Times New Roman" w:hAnsi="Times New Roman" w:cs="Times New Roman"/>
          <w:b/>
          <w:bCs/>
          <w:sz w:val="32"/>
          <w:szCs w:val="32"/>
          <w:lang w:eastAsia="it-IT"/>
        </w:rPr>
      </w:pPr>
      <w:bookmarkStart w:id="0" w:name="_GoBack"/>
      <w:bookmarkEnd w:id="0"/>
      <w:r w:rsidRPr="00B55E1C">
        <w:rPr>
          <w:rFonts w:ascii="Times New Roman" w:eastAsia="Times New Roman" w:hAnsi="Times New Roman" w:cs="Times New Roman"/>
          <w:b/>
          <w:bCs/>
          <w:noProof/>
          <w:sz w:val="32"/>
          <w:szCs w:val="32"/>
          <w:lang w:eastAsia="it-IT"/>
        </w:rPr>
        <w:drawing>
          <wp:inline distT="0" distB="0" distL="0" distR="0" wp14:anchorId="58BB316E" wp14:editId="647D32EC">
            <wp:extent cx="1097429" cy="1076325"/>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08708" cy="1087387"/>
                    </a:xfrm>
                    <a:prstGeom prst="rect">
                      <a:avLst/>
                    </a:prstGeom>
                  </pic:spPr>
                </pic:pic>
              </a:graphicData>
            </a:graphic>
          </wp:inline>
        </w:drawing>
      </w:r>
      <w:r>
        <w:rPr>
          <w:rFonts w:ascii="Times New Roman" w:eastAsia="Times New Roman" w:hAnsi="Times New Roman" w:cs="Times New Roman"/>
          <w:b/>
          <w:bCs/>
          <w:sz w:val="32"/>
          <w:szCs w:val="32"/>
          <w:lang w:eastAsia="it-IT"/>
        </w:rPr>
        <w:t xml:space="preserve">        </w:t>
      </w:r>
      <w:r w:rsidRPr="00B55E1C">
        <w:rPr>
          <w:rFonts w:ascii="Times New Roman" w:eastAsia="Times New Roman" w:hAnsi="Times New Roman" w:cs="Times New Roman"/>
          <w:b/>
          <w:bCs/>
          <w:noProof/>
          <w:sz w:val="32"/>
          <w:szCs w:val="32"/>
          <w:lang w:eastAsia="it-IT"/>
        </w:rPr>
        <w:drawing>
          <wp:inline distT="0" distB="0" distL="0" distR="0" wp14:anchorId="1EF7F6A5" wp14:editId="519E944C">
            <wp:extent cx="1676634" cy="1057423"/>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76634" cy="1057423"/>
                    </a:xfrm>
                    <a:prstGeom prst="rect">
                      <a:avLst/>
                    </a:prstGeom>
                  </pic:spPr>
                </pic:pic>
              </a:graphicData>
            </a:graphic>
          </wp:inline>
        </w:drawing>
      </w:r>
    </w:p>
    <w:p w:rsidR="00F90E5A" w:rsidRPr="00F90E5A" w:rsidRDefault="00F90E5A" w:rsidP="00F90E5A">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F90E5A">
        <w:rPr>
          <w:rFonts w:ascii="Times New Roman" w:eastAsia="Times New Roman" w:hAnsi="Times New Roman" w:cs="Times New Roman"/>
          <w:b/>
          <w:bCs/>
          <w:sz w:val="32"/>
          <w:szCs w:val="32"/>
          <w:lang w:eastAsia="it-IT"/>
        </w:rPr>
        <w:t xml:space="preserve">L’OSPEDALITÀ PRIVATA IN EMILIA ROMAGNA: 1,15 miliardi di euro la ricaduta economica complessiva nel 2016 </w:t>
      </w:r>
    </w:p>
    <w:p w:rsidR="00F90E5A" w:rsidRPr="00F90E5A" w:rsidRDefault="00F90E5A" w:rsidP="00F90E5A">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F90E5A">
        <w:rPr>
          <w:rFonts w:ascii="Times New Roman" w:eastAsia="Times New Roman" w:hAnsi="Times New Roman" w:cs="Times New Roman"/>
          <w:i/>
          <w:iCs/>
          <w:sz w:val="24"/>
          <w:szCs w:val="24"/>
          <w:lang w:eastAsia="it-IT"/>
        </w:rPr>
        <w:t>Presentato il Bilancio Sociale AIOP Emilia-Romagna: in aumento il valore complessivo prodotto e l’occupazione. Della crescita beneficiano anche gli altri settori produttivi.</w:t>
      </w:r>
    </w:p>
    <w:p w:rsidR="00F90E5A" w:rsidRPr="00F90E5A" w:rsidRDefault="00F90E5A" w:rsidP="00F90E5A">
      <w:pPr>
        <w:spacing w:before="100" w:beforeAutospacing="1" w:after="100" w:afterAutospacing="1" w:line="276" w:lineRule="auto"/>
        <w:jc w:val="both"/>
        <w:rPr>
          <w:rFonts w:ascii="Times New Roman" w:eastAsia="Times New Roman" w:hAnsi="Times New Roman" w:cs="Times New Roman"/>
          <w:sz w:val="24"/>
          <w:szCs w:val="24"/>
          <w:lang w:eastAsia="it-IT"/>
        </w:rPr>
      </w:pPr>
      <w:r w:rsidRPr="00F90E5A">
        <w:rPr>
          <w:rFonts w:ascii="Times New Roman" w:eastAsia="Times New Roman" w:hAnsi="Times New Roman" w:cs="Times New Roman"/>
          <w:i/>
          <w:iCs/>
          <w:sz w:val="24"/>
          <w:szCs w:val="24"/>
          <w:lang w:eastAsia="it-IT"/>
        </w:rPr>
        <w:t>Bologna, 12 dicembre 2017</w:t>
      </w:r>
      <w:r w:rsidRPr="00F90E5A">
        <w:rPr>
          <w:rFonts w:ascii="Times New Roman" w:eastAsia="Times New Roman" w:hAnsi="Times New Roman" w:cs="Times New Roman"/>
          <w:sz w:val="24"/>
          <w:szCs w:val="24"/>
          <w:lang w:eastAsia="it-IT"/>
        </w:rPr>
        <w:t xml:space="preserve"> – L’ospedalità privata in Emilia Romagna ha generato un </w:t>
      </w:r>
      <w:r w:rsidRPr="00F90E5A">
        <w:rPr>
          <w:rFonts w:ascii="Times New Roman" w:eastAsia="Times New Roman" w:hAnsi="Times New Roman" w:cs="Times New Roman"/>
          <w:b/>
          <w:bCs/>
          <w:sz w:val="24"/>
          <w:szCs w:val="24"/>
          <w:lang w:eastAsia="it-IT"/>
        </w:rPr>
        <w:t>valore complessivo di 731,6 milioni</w:t>
      </w:r>
      <w:r w:rsidRPr="00F90E5A">
        <w:rPr>
          <w:rFonts w:ascii="Times New Roman" w:eastAsia="Times New Roman" w:hAnsi="Times New Roman" w:cs="Times New Roman"/>
          <w:sz w:val="24"/>
          <w:szCs w:val="24"/>
          <w:lang w:eastAsia="it-IT"/>
        </w:rPr>
        <w:t xml:space="preserve"> e un </w:t>
      </w:r>
      <w:r w:rsidRPr="00F90E5A">
        <w:rPr>
          <w:rFonts w:ascii="Times New Roman" w:eastAsia="Times New Roman" w:hAnsi="Times New Roman" w:cs="Times New Roman"/>
          <w:b/>
          <w:bCs/>
          <w:sz w:val="24"/>
          <w:szCs w:val="24"/>
          <w:lang w:eastAsia="it-IT"/>
        </w:rPr>
        <w:t>valore aggiunto totale di 469 milioni</w:t>
      </w:r>
      <w:r w:rsidRPr="00F90E5A">
        <w:rPr>
          <w:rFonts w:ascii="Times New Roman" w:eastAsia="Times New Roman" w:hAnsi="Times New Roman" w:cs="Times New Roman"/>
          <w:sz w:val="24"/>
          <w:szCs w:val="24"/>
          <w:lang w:eastAsia="it-IT"/>
        </w:rPr>
        <w:t xml:space="preserve">, distribuito per il </w:t>
      </w:r>
      <w:r w:rsidRPr="00F90E5A">
        <w:rPr>
          <w:rFonts w:ascii="Times New Roman" w:eastAsia="Times New Roman" w:hAnsi="Times New Roman" w:cs="Times New Roman"/>
          <w:b/>
          <w:bCs/>
          <w:sz w:val="24"/>
          <w:szCs w:val="24"/>
          <w:lang w:eastAsia="it-IT"/>
        </w:rPr>
        <w:t>77,6% ai suoi 7.404 occupati</w:t>
      </w:r>
      <w:r w:rsidRPr="00F90E5A">
        <w:rPr>
          <w:rFonts w:ascii="Times New Roman" w:eastAsia="Times New Roman" w:hAnsi="Times New Roman" w:cs="Times New Roman"/>
          <w:sz w:val="24"/>
          <w:szCs w:val="24"/>
          <w:lang w:eastAsia="it-IT"/>
        </w:rPr>
        <w:t xml:space="preserve">. Questi alcuni dei dati emersi durante la presentazione della prima edizione del Bilancio Sociale AIOP Emilia-Romagna tenutasi questa mattina presso il Palazzo </w:t>
      </w:r>
      <w:proofErr w:type="spellStart"/>
      <w:r w:rsidRPr="00F90E5A">
        <w:rPr>
          <w:rFonts w:ascii="Times New Roman" w:eastAsia="Times New Roman" w:hAnsi="Times New Roman" w:cs="Times New Roman"/>
          <w:sz w:val="24"/>
          <w:szCs w:val="24"/>
          <w:lang w:eastAsia="it-IT"/>
        </w:rPr>
        <w:t>Davia</w:t>
      </w:r>
      <w:proofErr w:type="spellEnd"/>
      <w:r w:rsidRPr="00F90E5A">
        <w:rPr>
          <w:rFonts w:ascii="Times New Roman" w:eastAsia="Times New Roman" w:hAnsi="Times New Roman" w:cs="Times New Roman"/>
          <w:sz w:val="24"/>
          <w:szCs w:val="24"/>
          <w:lang w:eastAsia="it-IT"/>
        </w:rPr>
        <w:t xml:space="preserve"> Bargellini di Bologna. </w:t>
      </w:r>
    </w:p>
    <w:p w:rsidR="00F90E5A" w:rsidRPr="00F90E5A" w:rsidRDefault="00F90E5A" w:rsidP="00F90E5A">
      <w:pPr>
        <w:spacing w:before="100" w:beforeAutospacing="1" w:after="100" w:afterAutospacing="1" w:line="276" w:lineRule="auto"/>
        <w:jc w:val="both"/>
        <w:rPr>
          <w:rFonts w:ascii="Times New Roman" w:eastAsia="Times New Roman" w:hAnsi="Times New Roman" w:cs="Times New Roman"/>
          <w:sz w:val="24"/>
          <w:szCs w:val="24"/>
          <w:lang w:eastAsia="it-IT"/>
        </w:rPr>
      </w:pPr>
      <w:r w:rsidRPr="00F90E5A">
        <w:rPr>
          <w:rFonts w:ascii="Times New Roman" w:eastAsia="Times New Roman" w:hAnsi="Times New Roman" w:cs="Times New Roman"/>
          <w:sz w:val="24"/>
          <w:szCs w:val="24"/>
          <w:lang w:eastAsia="it-IT"/>
        </w:rPr>
        <w:t>Nomisma ha curato lo sviluppo metodologico e scientifico di questa prima edizione del Bilancio, presentato con lo scopo di condividere con i cittadini, le istituzioni regionali, i soci e i collaboratori, il ruolo che l’ospedalità privata riveste all’interno del territorio regionale sia come fornitore di servizi sanitari di alta qualità, sia come promotore di innovazione e sviluppo.</w:t>
      </w:r>
    </w:p>
    <w:p w:rsidR="00F90E5A" w:rsidRPr="00F90E5A" w:rsidRDefault="00F90E5A" w:rsidP="00F90E5A">
      <w:pPr>
        <w:spacing w:before="100" w:beforeAutospacing="1" w:after="100" w:afterAutospacing="1" w:line="276" w:lineRule="auto"/>
        <w:jc w:val="both"/>
        <w:rPr>
          <w:rFonts w:ascii="Times New Roman" w:eastAsia="Times New Roman" w:hAnsi="Times New Roman" w:cs="Times New Roman"/>
          <w:sz w:val="24"/>
          <w:szCs w:val="24"/>
          <w:lang w:eastAsia="it-IT"/>
        </w:rPr>
      </w:pPr>
      <w:r w:rsidRPr="00F90E5A">
        <w:rPr>
          <w:rFonts w:ascii="Times New Roman" w:eastAsia="Times New Roman" w:hAnsi="Times New Roman" w:cs="Times New Roman"/>
          <w:sz w:val="24"/>
          <w:szCs w:val="24"/>
          <w:lang w:eastAsia="it-IT"/>
        </w:rPr>
        <w:t xml:space="preserve">L’analisi aggregata ha coinvolto 44 strutture ospedaliere private AIOP, localizzate in </w:t>
      </w:r>
      <w:r w:rsidRPr="00F90E5A">
        <w:rPr>
          <w:rFonts w:ascii="Times New Roman" w:eastAsia="Times New Roman" w:hAnsi="Times New Roman" w:cs="Times New Roman"/>
          <w:b/>
          <w:bCs/>
          <w:sz w:val="24"/>
          <w:szCs w:val="24"/>
          <w:lang w:eastAsia="it-IT"/>
        </w:rPr>
        <w:t>23 diversi comuni</w:t>
      </w:r>
      <w:r w:rsidRPr="00F90E5A">
        <w:rPr>
          <w:rFonts w:ascii="Times New Roman" w:eastAsia="Times New Roman" w:hAnsi="Times New Roman" w:cs="Times New Roman"/>
          <w:sz w:val="24"/>
          <w:szCs w:val="24"/>
          <w:lang w:eastAsia="it-IT"/>
        </w:rPr>
        <w:t xml:space="preserve"> dell’Emilia-Romagna. </w:t>
      </w:r>
    </w:p>
    <w:p w:rsidR="00F90E5A" w:rsidRPr="00F90E5A" w:rsidRDefault="00F90E5A" w:rsidP="00F90E5A">
      <w:pPr>
        <w:spacing w:before="100" w:beforeAutospacing="1" w:after="100" w:afterAutospacing="1" w:line="276" w:lineRule="auto"/>
        <w:jc w:val="both"/>
        <w:rPr>
          <w:rFonts w:ascii="Times New Roman" w:eastAsia="Times New Roman" w:hAnsi="Times New Roman" w:cs="Times New Roman"/>
          <w:sz w:val="24"/>
          <w:szCs w:val="24"/>
          <w:lang w:eastAsia="it-IT"/>
        </w:rPr>
      </w:pPr>
      <w:r w:rsidRPr="00F90E5A">
        <w:rPr>
          <w:rFonts w:ascii="Times New Roman" w:eastAsia="Times New Roman" w:hAnsi="Times New Roman" w:cs="Times New Roman"/>
          <w:sz w:val="24"/>
          <w:szCs w:val="24"/>
          <w:lang w:eastAsia="it-IT"/>
        </w:rPr>
        <w:t>Le strutture rivestono un ruolo primario nel contribuire all’accessibilità e al corretto funzionamento del Sistema Sanitario Nazionale, mettendo a disposizione il 25% dei posti letto presenti in regione (</w:t>
      </w:r>
      <w:r w:rsidRPr="00F90E5A">
        <w:rPr>
          <w:rFonts w:ascii="Times New Roman" w:eastAsia="Times New Roman" w:hAnsi="Times New Roman" w:cs="Times New Roman"/>
          <w:b/>
          <w:bCs/>
          <w:sz w:val="24"/>
          <w:szCs w:val="24"/>
          <w:lang w:eastAsia="it-IT"/>
        </w:rPr>
        <w:t xml:space="preserve">5.095 di cui il </w:t>
      </w:r>
      <w:r w:rsidRPr="00F90E5A">
        <w:rPr>
          <w:rFonts w:ascii="Times New Roman" w:eastAsia="Times New Roman" w:hAnsi="Times New Roman" w:cs="Times New Roman"/>
          <w:sz w:val="24"/>
          <w:szCs w:val="24"/>
          <w:lang w:eastAsia="it-IT"/>
        </w:rPr>
        <w:t xml:space="preserve">94% accreditati con il SSN) e accogliendo il 17,6% dei pazienti dimessi. Il contributo degli ospedali privati è particolarmente rilevante in alcune discipline sanitarie, come i </w:t>
      </w:r>
      <w:r w:rsidRPr="00F90E5A">
        <w:rPr>
          <w:rFonts w:ascii="Times New Roman" w:eastAsia="Times New Roman" w:hAnsi="Times New Roman" w:cs="Times New Roman"/>
          <w:b/>
          <w:bCs/>
          <w:sz w:val="24"/>
          <w:szCs w:val="24"/>
          <w:lang w:eastAsia="it-IT"/>
        </w:rPr>
        <w:t>percorsi di recupero e riabilitativi</w:t>
      </w:r>
      <w:r w:rsidRPr="00F90E5A">
        <w:rPr>
          <w:rFonts w:ascii="Times New Roman" w:eastAsia="Times New Roman" w:hAnsi="Times New Roman" w:cs="Times New Roman"/>
          <w:sz w:val="24"/>
          <w:szCs w:val="24"/>
          <w:lang w:eastAsia="it-IT"/>
        </w:rPr>
        <w:t xml:space="preserve"> (67,1% dei pazienti dimessi a livello regionale), </w:t>
      </w:r>
      <w:r w:rsidRPr="00F90E5A">
        <w:rPr>
          <w:rFonts w:ascii="Times New Roman" w:eastAsia="Times New Roman" w:hAnsi="Times New Roman" w:cs="Times New Roman"/>
          <w:b/>
          <w:bCs/>
          <w:sz w:val="24"/>
          <w:szCs w:val="24"/>
          <w:lang w:eastAsia="it-IT"/>
        </w:rPr>
        <w:t>cardiochirurgia</w:t>
      </w:r>
      <w:r w:rsidRPr="00F90E5A">
        <w:rPr>
          <w:rFonts w:ascii="Times New Roman" w:eastAsia="Times New Roman" w:hAnsi="Times New Roman" w:cs="Times New Roman"/>
          <w:sz w:val="24"/>
          <w:szCs w:val="24"/>
          <w:lang w:eastAsia="it-IT"/>
        </w:rPr>
        <w:t xml:space="preserve"> (55,6%), </w:t>
      </w:r>
      <w:r w:rsidRPr="00F90E5A">
        <w:rPr>
          <w:rFonts w:ascii="Times New Roman" w:eastAsia="Times New Roman" w:hAnsi="Times New Roman" w:cs="Times New Roman"/>
          <w:b/>
          <w:bCs/>
          <w:sz w:val="24"/>
          <w:szCs w:val="24"/>
          <w:lang w:eastAsia="it-IT"/>
        </w:rPr>
        <w:t>lungodegenza</w:t>
      </w:r>
      <w:r w:rsidRPr="00F90E5A">
        <w:rPr>
          <w:rFonts w:ascii="Times New Roman" w:eastAsia="Times New Roman" w:hAnsi="Times New Roman" w:cs="Times New Roman"/>
          <w:sz w:val="24"/>
          <w:szCs w:val="24"/>
          <w:lang w:eastAsia="it-IT"/>
        </w:rPr>
        <w:t xml:space="preserve"> (41,1%), </w:t>
      </w:r>
      <w:r w:rsidRPr="00F90E5A">
        <w:rPr>
          <w:rFonts w:ascii="Times New Roman" w:eastAsia="Times New Roman" w:hAnsi="Times New Roman" w:cs="Times New Roman"/>
          <w:b/>
          <w:bCs/>
          <w:sz w:val="24"/>
          <w:szCs w:val="24"/>
          <w:lang w:eastAsia="it-IT"/>
        </w:rPr>
        <w:t>ortopedia e traumatologia</w:t>
      </w:r>
      <w:r w:rsidRPr="00F90E5A">
        <w:rPr>
          <w:rFonts w:ascii="Times New Roman" w:eastAsia="Times New Roman" w:hAnsi="Times New Roman" w:cs="Times New Roman"/>
          <w:sz w:val="24"/>
          <w:szCs w:val="24"/>
          <w:lang w:eastAsia="it-IT"/>
        </w:rPr>
        <w:t xml:space="preserve"> (40,5%).</w:t>
      </w:r>
    </w:p>
    <w:p w:rsidR="00F90E5A" w:rsidRPr="00F90E5A" w:rsidRDefault="00F90E5A" w:rsidP="00F90E5A">
      <w:pPr>
        <w:spacing w:before="100" w:beforeAutospacing="1" w:after="100" w:afterAutospacing="1" w:line="276" w:lineRule="auto"/>
        <w:jc w:val="both"/>
        <w:rPr>
          <w:rFonts w:ascii="Times New Roman" w:eastAsia="Times New Roman" w:hAnsi="Times New Roman" w:cs="Times New Roman"/>
          <w:sz w:val="24"/>
          <w:szCs w:val="24"/>
          <w:lang w:eastAsia="it-IT"/>
        </w:rPr>
      </w:pPr>
      <w:r w:rsidRPr="00F90E5A">
        <w:rPr>
          <w:rFonts w:ascii="Times New Roman" w:eastAsia="Times New Roman" w:hAnsi="Times New Roman" w:cs="Times New Roman"/>
          <w:sz w:val="24"/>
          <w:szCs w:val="24"/>
          <w:lang w:eastAsia="it-IT"/>
        </w:rPr>
        <w:t>Una quota significativa dei degenti delle strutture proviene da altre regioni (il 36%), a dimostrazione della forte capacità attrattiva del comparto, che grazie al livello di qualità e innovatività delle prestazioni sanitarie, sostiene direttamente e indirettamente il tessuto economico-sociale del territorio</w:t>
      </w:r>
    </w:p>
    <w:p w:rsidR="00F90E5A" w:rsidRPr="00F90E5A" w:rsidRDefault="00F90E5A" w:rsidP="00F90E5A">
      <w:pPr>
        <w:spacing w:before="100" w:beforeAutospacing="1" w:after="100" w:afterAutospacing="1" w:line="276" w:lineRule="auto"/>
        <w:jc w:val="both"/>
        <w:rPr>
          <w:rFonts w:ascii="Times New Roman" w:eastAsia="Times New Roman" w:hAnsi="Times New Roman" w:cs="Times New Roman"/>
          <w:sz w:val="24"/>
          <w:szCs w:val="24"/>
          <w:lang w:eastAsia="it-IT"/>
        </w:rPr>
      </w:pPr>
      <w:r w:rsidRPr="00F90E5A">
        <w:rPr>
          <w:rFonts w:ascii="Times New Roman" w:eastAsia="Times New Roman" w:hAnsi="Times New Roman" w:cs="Times New Roman"/>
          <w:sz w:val="24"/>
          <w:szCs w:val="24"/>
          <w:lang w:eastAsia="it-IT"/>
        </w:rPr>
        <w:t xml:space="preserve">Importante la quota di assorbimento occupazionale diretto con </w:t>
      </w:r>
      <w:r w:rsidRPr="00F90E5A">
        <w:rPr>
          <w:rFonts w:ascii="Times New Roman" w:eastAsia="Times New Roman" w:hAnsi="Times New Roman" w:cs="Times New Roman"/>
          <w:b/>
          <w:bCs/>
          <w:sz w:val="24"/>
          <w:szCs w:val="24"/>
          <w:lang w:eastAsia="it-IT"/>
        </w:rPr>
        <w:t xml:space="preserve">7.404 addetti tra personale sanitario e non-sanitario, </w:t>
      </w:r>
      <w:r w:rsidRPr="00F90E5A">
        <w:rPr>
          <w:rFonts w:ascii="Times New Roman" w:eastAsia="Times New Roman" w:hAnsi="Times New Roman" w:cs="Times New Roman"/>
          <w:sz w:val="24"/>
          <w:szCs w:val="24"/>
          <w:lang w:eastAsia="it-IT"/>
        </w:rPr>
        <w:t xml:space="preserve">dato in </w:t>
      </w:r>
      <w:r w:rsidRPr="00F90E5A">
        <w:rPr>
          <w:rFonts w:ascii="Times New Roman" w:eastAsia="Times New Roman" w:hAnsi="Times New Roman" w:cs="Times New Roman"/>
          <w:b/>
          <w:bCs/>
          <w:sz w:val="24"/>
          <w:szCs w:val="24"/>
          <w:lang w:eastAsia="it-IT"/>
        </w:rPr>
        <w:t>crescita dello 0,7% rispetto al 2015</w:t>
      </w:r>
      <w:r w:rsidRPr="00F90E5A">
        <w:rPr>
          <w:rFonts w:ascii="Times New Roman" w:eastAsia="Times New Roman" w:hAnsi="Times New Roman" w:cs="Times New Roman"/>
          <w:sz w:val="24"/>
          <w:szCs w:val="24"/>
          <w:lang w:eastAsia="it-IT"/>
        </w:rPr>
        <w:t xml:space="preserve"> e </w:t>
      </w:r>
      <w:r w:rsidRPr="00F90E5A">
        <w:rPr>
          <w:rFonts w:ascii="Times New Roman" w:eastAsia="Times New Roman" w:hAnsi="Times New Roman" w:cs="Times New Roman"/>
          <w:b/>
          <w:bCs/>
          <w:sz w:val="24"/>
          <w:szCs w:val="24"/>
          <w:lang w:eastAsia="it-IT"/>
        </w:rPr>
        <w:t>del 2,9% rispetto al 2014</w:t>
      </w:r>
      <w:r w:rsidRPr="00F90E5A">
        <w:rPr>
          <w:rFonts w:ascii="Times New Roman" w:eastAsia="Times New Roman" w:hAnsi="Times New Roman" w:cs="Times New Roman"/>
          <w:sz w:val="24"/>
          <w:szCs w:val="24"/>
          <w:lang w:eastAsia="it-IT"/>
        </w:rPr>
        <w:t>. A questo va aggiungersi un impatto occupazionale indiretto fatto di lavoratori che pur non essendo direttamente contrattualizzati dalle strutture sanitarie, prestano il loro servizio in maniera continuativa presso le sedi degli ospedali (per mansioni legate a lavanderia, cucina, pulizia, manutenzione, sorveglianza, etc.). Questo aggregato è pari a 658 unità nel 2016 per un effetto moltiplicativo sull’occupazione diretta del 9% circa.</w:t>
      </w:r>
    </w:p>
    <w:p w:rsidR="00F90E5A" w:rsidRPr="00F90E5A" w:rsidRDefault="00F90E5A" w:rsidP="00F90E5A">
      <w:pPr>
        <w:spacing w:before="100" w:beforeAutospacing="1" w:after="100" w:afterAutospacing="1" w:line="276" w:lineRule="auto"/>
        <w:jc w:val="both"/>
        <w:rPr>
          <w:rFonts w:ascii="Times New Roman" w:eastAsia="Times New Roman" w:hAnsi="Times New Roman" w:cs="Times New Roman"/>
          <w:sz w:val="24"/>
          <w:szCs w:val="24"/>
          <w:lang w:eastAsia="it-IT"/>
        </w:rPr>
      </w:pPr>
      <w:r w:rsidRPr="00F90E5A">
        <w:rPr>
          <w:rFonts w:ascii="Times New Roman" w:eastAsia="Times New Roman" w:hAnsi="Times New Roman" w:cs="Times New Roman"/>
          <w:sz w:val="24"/>
          <w:szCs w:val="24"/>
          <w:lang w:eastAsia="it-IT"/>
        </w:rPr>
        <w:lastRenderedPageBreak/>
        <w:t xml:space="preserve">Il </w:t>
      </w:r>
      <w:r w:rsidRPr="00F90E5A">
        <w:rPr>
          <w:rFonts w:ascii="Times New Roman" w:eastAsia="Times New Roman" w:hAnsi="Times New Roman" w:cs="Times New Roman"/>
          <w:b/>
          <w:bCs/>
          <w:sz w:val="24"/>
          <w:szCs w:val="24"/>
          <w:lang w:eastAsia="it-IT"/>
        </w:rPr>
        <w:t>valore della produzione dell’aggregato regionale ha toccato quota 731,6 milioni di euro nel 2016</w:t>
      </w:r>
      <w:r w:rsidRPr="00F90E5A">
        <w:rPr>
          <w:rFonts w:ascii="Times New Roman" w:eastAsia="Times New Roman" w:hAnsi="Times New Roman" w:cs="Times New Roman"/>
          <w:sz w:val="24"/>
          <w:szCs w:val="24"/>
          <w:lang w:eastAsia="it-IT"/>
        </w:rPr>
        <w:t xml:space="preserve"> (+1,7% rispetto al 2015). Buona parte degli utili è stata reinvestita a beneficio dell’attività d’impresa e destinata al miglioramento delle infrastrutture, all’innalzamento del livello tecnologico e alla formazione del personale. Il </w:t>
      </w:r>
      <w:r w:rsidRPr="00F90E5A">
        <w:rPr>
          <w:rFonts w:ascii="Times New Roman" w:eastAsia="Times New Roman" w:hAnsi="Times New Roman" w:cs="Times New Roman"/>
          <w:b/>
          <w:bCs/>
          <w:sz w:val="24"/>
          <w:szCs w:val="24"/>
          <w:lang w:eastAsia="it-IT"/>
        </w:rPr>
        <w:t>Valore Aggiunto Globale Lordo</w:t>
      </w:r>
      <w:r w:rsidRPr="00F90E5A">
        <w:rPr>
          <w:rFonts w:ascii="Times New Roman" w:eastAsia="Times New Roman" w:hAnsi="Times New Roman" w:cs="Times New Roman"/>
          <w:sz w:val="24"/>
          <w:szCs w:val="24"/>
          <w:lang w:eastAsia="it-IT"/>
        </w:rPr>
        <w:t>, che consente di misurare la capacità di un’organizzazione di distribuire la ricchezza prodotta a favore degli stakeholders, è stato di</w:t>
      </w:r>
      <w:r w:rsidRPr="00F90E5A">
        <w:rPr>
          <w:rFonts w:ascii="Times New Roman" w:eastAsia="Times New Roman" w:hAnsi="Times New Roman" w:cs="Times New Roman"/>
          <w:b/>
          <w:bCs/>
          <w:sz w:val="24"/>
          <w:szCs w:val="24"/>
          <w:lang w:eastAsia="it-IT"/>
        </w:rPr>
        <w:t xml:space="preserve"> 469 milioni</w:t>
      </w:r>
      <w:r w:rsidRPr="00F90E5A">
        <w:rPr>
          <w:rFonts w:ascii="Times New Roman" w:eastAsia="Times New Roman" w:hAnsi="Times New Roman" w:cs="Times New Roman"/>
          <w:sz w:val="24"/>
          <w:szCs w:val="24"/>
          <w:lang w:eastAsia="it-IT"/>
        </w:rPr>
        <w:t xml:space="preserve"> nel 2016 (+0,8% rispetto all’anno precedente) ed è stato distribuito per il 77,6% a lavoratori dipendenti e ai collaboratori, a riprova dell’alta intensità di lavoro che caratterizza il settore sanità in generale.</w:t>
      </w:r>
    </w:p>
    <w:p w:rsidR="00F90E5A" w:rsidRPr="00F90E5A" w:rsidRDefault="00F90E5A" w:rsidP="00F90E5A">
      <w:pPr>
        <w:spacing w:before="100" w:beforeAutospacing="1" w:after="100" w:afterAutospacing="1" w:line="276" w:lineRule="auto"/>
        <w:rPr>
          <w:rFonts w:ascii="Times New Roman" w:eastAsia="Times New Roman" w:hAnsi="Times New Roman" w:cs="Times New Roman"/>
          <w:sz w:val="24"/>
          <w:szCs w:val="24"/>
          <w:lang w:eastAsia="it-IT"/>
        </w:rPr>
      </w:pPr>
      <w:r w:rsidRPr="00F90E5A">
        <w:rPr>
          <w:rFonts w:ascii="Times New Roman" w:eastAsia="Times New Roman" w:hAnsi="Times New Roman" w:cs="Times New Roman"/>
          <w:sz w:val="24"/>
          <w:szCs w:val="24"/>
          <w:lang w:eastAsia="it-IT"/>
        </w:rPr>
        <w:t>Cresce il totale complessivo di acquisti da fornitori: si è passati dai 243 Mln di Euro del 2014 ai 254 Mln del 2016. La maggioranza degli acquisti ricade sui fornitori localizzati in Emilia-Romagna (67% degli acquisti, per un totale di 170,7 mln di Euro nel 2016) a dimostrazione del significativo legame con il territorio.</w:t>
      </w:r>
    </w:p>
    <w:p w:rsidR="00F90E5A" w:rsidRDefault="00F90E5A" w:rsidP="00F90E5A">
      <w:pPr>
        <w:spacing w:before="100" w:beforeAutospacing="1" w:after="100" w:afterAutospacing="1" w:line="276" w:lineRule="auto"/>
        <w:jc w:val="both"/>
        <w:rPr>
          <w:rFonts w:ascii="Times New Roman" w:eastAsia="Times New Roman" w:hAnsi="Times New Roman" w:cs="Times New Roman"/>
          <w:sz w:val="24"/>
          <w:szCs w:val="24"/>
          <w:lang w:eastAsia="it-IT"/>
        </w:rPr>
      </w:pPr>
      <w:r w:rsidRPr="00F90E5A">
        <w:rPr>
          <w:rFonts w:ascii="Times New Roman" w:eastAsia="Times New Roman" w:hAnsi="Times New Roman" w:cs="Times New Roman"/>
          <w:sz w:val="24"/>
          <w:szCs w:val="24"/>
          <w:lang w:eastAsia="it-IT"/>
        </w:rPr>
        <w:t xml:space="preserve">L’Emilia Romagna presenta tutte le caratteristiche di una regione in cui lo schema che vede la sanità come attivatore di economia trova piena applicazione. Utilizzando una metodologia di stima basata su modelli input-output, Nomisma ha calcolato come la </w:t>
      </w:r>
      <w:r w:rsidRPr="00F90E5A">
        <w:rPr>
          <w:rFonts w:ascii="Times New Roman" w:eastAsia="Times New Roman" w:hAnsi="Times New Roman" w:cs="Times New Roman"/>
          <w:b/>
          <w:bCs/>
          <w:sz w:val="24"/>
          <w:szCs w:val="24"/>
          <w:lang w:eastAsia="it-IT"/>
        </w:rPr>
        <w:t>ricaduta economica delle strutture sanitarie AIOP E-R</w:t>
      </w:r>
      <w:r w:rsidRPr="00F90E5A">
        <w:rPr>
          <w:rFonts w:ascii="Times New Roman" w:eastAsia="Times New Roman" w:hAnsi="Times New Roman" w:cs="Times New Roman"/>
          <w:sz w:val="24"/>
          <w:szCs w:val="24"/>
          <w:lang w:eastAsia="it-IT"/>
        </w:rPr>
        <w:t xml:space="preserve">, cioè l’impatto sui diversi settori dell’economia, sia di </w:t>
      </w:r>
      <w:r w:rsidRPr="00F90E5A">
        <w:rPr>
          <w:rFonts w:ascii="Times New Roman" w:eastAsia="Times New Roman" w:hAnsi="Times New Roman" w:cs="Times New Roman"/>
          <w:b/>
          <w:bCs/>
          <w:sz w:val="24"/>
          <w:szCs w:val="24"/>
          <w:lang w:eastAsia="it-IT"/>
        </w:rPr>
        <w:t>1.149 milioni di euro</w:t>
      </w:r>
      <w:r w:rsidRPr="00F90E5A">
        <w:rPr>
          <w:rFonts w:ascii="Times New Roman" w:eastAsia="Times New Roman" w:hAnsi="Times New Roman" w:cs="Times New Roman"/>
          <w:sz w:val="24"/>
          <w:szCs w:val="24"/>
          <w:lang w:eastAsia="it-IT"/>
        </w:rPr>
        <w:t xml:space="preserve"> nel 2016: in altre parole, ogni 1000 euro di risorse stanziate per la sanità si traducono in 1570 euro nel sistema economico. </w:t>
      </w:r>
    </w:p>
    <w:p w:rsidR="006C0308" w:rsidRPr="006C0308" w:rsidRDefault="00B55E1C" w:rsidP="00B55E1C">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sidR="006C0308" w:rsidRPr="006C0308">
        <w:rPr>
          <w:rFonts w:ascii="Times New Roman" w:eastAsia="Times New Roman" w:hAnsi="Times New Roman" w:cs="Times New Roman"/>
          <w:i/>
          <w:sz w:val="24"/>
          <w:szCs w:val="24"/>
          <w:lang w:eastAsia="it-IT"/>
        </w:rPr>
        <w:t>AIOP è soddisfatta dei metodi che stanno alla base dell’analisi contenuta nel lavoro di Nomisma che nel suo complesso, ci pare rispecchi l’attività svolta dagli Ospedali Privati nella Regione</w:t>
      </w:r>
      <w:r w:rsidRPr="00B55E1C">
        <w:rPr>
          <w:rFonts w:ascii="Times New Roman" w:eastAsia="Times New Roman" w:hAnsi="Times New Roman" w:cs="Times New Roman"/>
          <w:i/>
          <w:sz w:val="24"/>
          <w:szCs w:val="24"/>
          <w:lang w:eastAsia="it-IT"/>
        </w:rPr>
        <w:t>.</w:t>
      </w:r>
      <w:r w:rsidR="006C0308" w:rsidRPr="006C0308">
        <w:rPr>
          <w:rFonts w:ascii="Times New Roman" w:eastAsia="Times New Roman" w:hAnsi="Times New Roman" w:cs="Times New Roman"/>
          <w:i/>
          <w:sz w:val="24"/>
          <w:szCs w:val="24"/>
          <w:lang w:eastAsia="it-IT"/>
        </w:rPr>
        <w:t xml:space="preserve">  </w:t>
      </w:r>
      <w:r w:rsidRPr="00B55E1C">
        <w:rPr>
          <w:rFonts w:ascii="Times New Roman" w:eastAsia="Times New Roman" w:hAnsi="Times New Roman" w:cs="Times New Roman"/>
          <w:i/>
          <w:sz w:val="24"/>
          <w:szCs w:val="24"/>
          <w:lang w:eastAsia="it-IT"/>
        </w:rPr>
        <w:t>S</w:t>
      </w:r>
      <w:r w:rsidR="006C0308" w:rsidRPr="006C0308">
        <w:rPr>
          <w:rFonts w:ascii="Times New Roman" w:eastAsia="Times New Roman" w:hAnsi="Times New Roman" w:cs="Times New Roman"/>
          <w:i/>
          <w:sz w:val="24"/>
          <w:szCs w:val="24"/>
          <w:lang w:eastAsia="it-IT"/>
        </w:rPr>
        <w:t xml:space="preserve">iamo convinti infatti che sia importante dare conto del nostro contributo alla società ed ai territori e che, in questo senso, il lavoro svolto rappresenti in modo compiuto ed oggettivo il nostro apporto al Servizio Sanitario Regionale e, quindi, la misura dell'apporto che siamo in grado di restituire nell’indotto dei vari </w:t>
      </w:r>
      <w:proofErr w:type="gramStart"/>
      <w:r w:rsidR="006C0308" w:rsidRPr="006C0308">
        <w:rPr>
          <w:rFonts w:ascii="Times New Roman" w:eastAsia="Times New Roman" w:hAnsi="Times New Roman" w:cs="Times New Roman"/>
          <w:i/>
          <w:sz w:val="24"/>
          <w:szCs w:val="24"/>
          <w:lang w:eastAsia="it-IT"/>
        </w:rPr>
        <w:t>territori</w:t>
      </w:r>
      <w:r>
        <w:rPr>
          <w:rFonts w:ascii="Times New Roman" w:eastAsia="Times New Roman" w:hAnsi="Times New Roman" w:cs="Times New Roman"/>
          <w:sz w:val="24"/>
          <w:szCs w:val="24"/>
          <w:lang w:eastAsia="it-IT"/>
        </w:rPr>
        <w:t>”-</w:t>
      </w:r>
      <w:proofErr w:type="gramEnd"/>
      <w:r>
        <w:rPr>
          <w:rFonts w:ascii="Times New Roman" w:eastAsia="Times New Roman" w:hAnsi="Times New Roman" w:cs="Times New Roman"/>
          <w:sz w:val="24"/>
          <w:szCs w:val="24"/>
          <w:lang w:eastAsia="it-IT"/>
        </w:rPr>
        <w:t xml:space="preserve"> sottolinea </w:t>
      </w:r>
      <w:r w:rsidR="000B0D32" w:rsidRPr="00F15204">
        <w:rPr>
          <w:rFonts w:ascii="Times New Roman" w:eastAsia="Times New Roman" w:hAnsi="Times New Roman" w:cs="Times New Roman"/>
          <w:b/>
          <w:sz w:val="24"/>
          <w:szCs w:val="24"/>
          <w:lang w:eastAsia="it-IT"/>
        </w:rPr>
        <w:t>B</w:t>
      </w:r>
      <w:r w:rsidRPr="00F15204">
        <w:rPr>
          <w:rFonts w:ascii="Times New Roman" w:eastAsia="Times New Roman" w:hAnsi="Times New Roman" w:cs="Times New Roman"/>
          <w:b/>
          <w:sz w:val="24"/>
          <w:szCs w:val="24"/>
          <w:lang w:eastAsia="it-IT"/>
        </w:rPr>
        <w:t>runo Biagi - Presidente AIOP E</w:t>
      </w:r>
      <w:r w:rsidR="000B0D32" w:rsidRPr="00F15204">
        <w:rPr>
          <w:rFonts w:ascii="Times New Roman" w:eastAsia="Times New Roman" w:hAnsi="Times New Roman" w:cs="Times New Roman"/>
          <w:b/>
          <w:sz w:val="24"/>
          <w:szCs w:val="24"/>
          <w:lang w:eastAsia="it-IT"/>
        </w:rPr>
        <w:t>milia-</w:t>
      </w:r>
      <w:r w:rsidRPr="00F15204">
        <w:rPr>
          <w:rFonts w:ascii="Times New Roman" w:eastAsia="Times New Roman" w:hAnsi="Times New Roman" w:cs="Times New Roman"/>
          <w:b/>
          <w:sz w:val="24"/>
          <w:szCs w:val="24"/>
          <w:lang w:eastAsia="it-IT"/>
        </w:rPr>
        <w:t>R</w:t>
      </w:r>
      <w:r w:rsidR="000B0D32" w:rsidRPr="00F15204">
        <w:rPr>
          <w:rFonts w:ascii="Times New Roman" w:eastAsia="Times New Roman" w:hAnsi="Times New Roman" w:cs="Times New Roman"/>
          <w:b/>
          <w:sz w:val="24"/>
          <w:szCs w:val="24"/>
          <w:lang w:eastAsia="it-IT"/>
        </w:rPr>
        <w:t>omagna</w:t>
      </w:r>
      <w:r w:rsidR="000B0D32">
        <w:rPr>
          <w:rFonts w:ascii="Times New Roman" w:eastAsia="Times New Roman" w:hAnsi="Times New Roman" w:cs="Times New Roman"/>
          <w:sz w:val="24"/>
          <w:szCs w:val="24"/>
          <w:lang w:eastAsia="it-IT"/>
        </w:rPr>
        <w:t>.</w:t>
      </w:r>
    </w:p>
    <w:p w:rsidR="006C0308" w:rsidRPr="006C0308" w:rsidRDefault="006C0308" w:rsidP="006C0308">
      <w:pPr>
        <w:spacing w:before="100" w:beforeAutospacing="1" w:after="100" w:afterAutospacing="1" w:line="240" w:lineRule="auto"/>
        <w:rPr>
          <w:rFonts w:ascii="Times New Roman" w:eastAsia="Times New Roman" w:hAnsi="Times New Roman" w:cs="Times New Roman"/>
          <w:sz w:val="24"/>
          <w:szCs w:val="24"/>
          <w:lang w:eastAsia="it-IT"/>
        </w:rPr>
      </w:pPr>
      <w:r w:rsidRPr="006C0308">
        <w:rPr>
          <w:rFonts w:ascii="Times New Roman" w:eastAsia="Times New Roman" w:hAnsi="Times New Roman" w:cs="Times New Roman"/>
          <w:color w:val="1F497D"/>
          <w:sz w:val="24"/>
          <w:szCs w:val="24"/>
          <w:lang w:eastAsia="it-IT"/>
        </w:rPr>
        <w:t> </w:t>
      </w:r>
    </w:p>
    <w:p w:rsidR="006C0308" w:rsidRPr="00F90E5A" w:rsidRDefault="006C0308" w:rsidP="00F90E5A">
      <w:pPr>
        <w:spacing w:before="100" w:beforeAutospacing="1" w:after="100" w:afterAutospacing="1" w:line="276" w:lineRule="auto"/>
        <w:jc w:val="both"/>
        <w:rPr>
          <w:rFonts w:ascii="Times New Roman" w:eastAsia="Times New Roman" w:hAnsi="Times New Roman" w:cs="Times New Roman"/>
          <w:sz w:val="24"/>
          <w:szCs w:val="24"/>
          <w:lang w:eastAsia="it-IT"/>
        </w:rPr>
      </w:pPr>
    </w:p>
    <w:p w:rsidR="009F7AA8" w:rsidRPr="00EA3C44" w:rsidRDefault="00F90E5A">
      <w:pPr>
        <w:rPr>
          <w:b/>
        </w:rPr>
      </w:pPr>
      <w:r w:rsidRPr="00EA3C44">
        <w:rPr>
          <w:b/>
        </w:rPr>
        <w:t>Ufficio stampa Nomisma</w:t>
      </w:r>
    </w:p>
    <w:p w:rsidR="00F90E5A" w:rsidRDefault="00912E95">
      <w:hyperlink r:id="rId6" w:history="1">
        <w:r w:rsidR="00F90E5A" w:rsidRPr="00806451">
          <w:rPr>
            <w:rStyle w:val="Collegamentoipertestuale"/>
          </w:rPr>
          <w:t>Ufficiostampa@nomisma.it</w:t>
        </w:r>
      </w:hyperlink>
    </w:p>
    <w:p w:rsidR="00F90E5A" w:rsidRDefault="00F90E5A">
      <w:r>
        <w:t>Edoardo Caprino – 339 5933457</w:t>
      </w:r>
    </w:p>
    <w:p w:rsidR="00F90E5A" w:rsidRDefault="00F90E5A">
      <w:r>
        <w:t>Giulia Fabbri – 345 6156164</w:t>
      </w:r>
    </w:p>
    <w:sectPr w:rsidR="00F90E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5A"/>
    <w:rsid w:val="000B0D32"/>
    <w:rsid w:val="0025654B"/>
    <w:rsid w:val="002813BF"/>
    <w:rsid w:val="00333769"/>
    <w:rsid w:val="00483969"/>
    <w:rsid w:val="0049391A"/>
    <w:rsid w:val="006C0308"/>
    <w:rsid w:val="0077755C"/>
    <w:rsid w:val="00912E95"/>
    <w:rsid w:val="009F7AA8"/>
    <w:rsid w:val="00A72939"/>
    <w:rsid w:val="00AE03D4"/>
    <w:rsid w:val="00B55E1C"/>
    <w:rsid w:val="00B97C8C"/>
    <w:rsid w:val="00D10576"/>
    <w:rsid w:val="00EA3C44"/>
    <w:rsid w:val="00EE47A2"/>
    <w:rsid w:val="00F15204"/>
    <w:rsid w:val="00F90E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21804-73A4-4787-AB53-4CDBF742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90E5A"/>
    <w:rPr>
      <w:color w:val="0563C1" w:themeColor="hyperlink"/>
      <w:u w:val="single"/>
    </w:rPr>
  </w:style>
  <w:style w:type="character" w:styleId="Menzionenonrisolta">
    <w:name w:val="Unresolved Mention"/>
    <w:basedOn w:val="Carpredefinitoparagrafo"/>
    <w:uiPriority w:val="99"/>
    <w:semiHidden/>
    <w:unhideWhenUsed/>
    <w:rsid w:val="00F90E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049277">
      <w:bodyDiv w:val="1"/>
      <w:marLeft w:val="0"/>
      <w:marRight w:val="0"/>
      <w:marTop w:val="0"/>
      <w:marBottom w:val="0"/>
      <w:divBdr>
        <w:top w:val="none" w:sz="0" w:space="0" w:color="auto"/>
        <w:left w:val="none" w:sz="0" w:space="0" w:color="auto"/>
        <w:bottom w:val="none" w:sz="0" w:space="0" w:color="auto"/>
        <w:right w:val="none" w:sz="0" w:space="0" w:color="auto"/>
      </w:divBdr>
    </w:div>
    <w:div w:id="21045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fficiostampa@nomisma.it"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4272</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Marina Castellano</cp:lastModifiedBy>
  <cp:revision>2</cp:revision>
  <dcterms:created xsi:type="dcterms:W3CDTF">2017-12-12T14:54:00Z</dcterms:created>
  <dcterms:modified xsi:type="dcterms:W3CDTF">2017-12-12T14:54:00Z</dcterms:modified>
</cp:coreProperties>
</file>